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C530" w14:textId="77777777" w:rsidR="00611A90" w:rsidRPr="00DB07FD" w:rsidRDefault="00611A90" w:rsidP="00611A90">
      <w:pPr>
        <w:pStyle w:val="Titre1"/>
        <w:jc w:val="center"/>
        <w:rPr>
          <w:rFonts w:ascii="Arial" w:hAnsi="Arial" w:cs="Arial"/>
          <w:color w:val="1F3864" w:themeColor="accent1" w:themeShade="80"/>
        </w:rPr>
      </w:pPr>
      <w:r w:rsidRPr="00DB07FD">
        <w:rPr>
          <w:color w:val="1F3864" w:themeColor="accent1" w:themeShade="80"/>
        </w:rPr>
        <w:tab/>
      </w:r>
      <w:r w:rsidRPr="00DB07FD">
        <w:rPr>
          <w:color w:val="1F3864" w:themeColor="accent1" w:themeShade="80"/>
        </w:rPr>
        <w:tab/>
      </w:r>
      <w:r w:rsidRPr="00DB07FD">
        <w:rPr>
          <w:color w:val="1F3864" w:themeColor="accent1" w:themeShade="80"/>
        </w:rPr>
        <w:tab/>
      </w:r>
      <w:r w:rsidRPr="00DB07FD">
        <w:rPr>
          <w:color w:val="1F3864" w:themeColor="accent1" w:themeShade="80"/>
        </w:rPr>
        <w:tab/>
      </w:r>
      <w:r w:rsidRPr="00DB07FD">
        <w:rPr>
          <w:color w:val="1F3864" w:themeColor="accent1" w:themeShade="80"/>
        </w:rPr>
        <w:tab/>
      </w:r>
      <w:r w:rsidRPr="00DB07FD">
        <w:rPr>
          <w:color w:val="1F3864" w:themeColor="accent1" w:themeShade="80"/>
        </w:rPr>
        <w:tab/>
      </w:r>
      <w:r w:rsidRPr="00DB07FD">
        <w:rPr>
          <w:rFonts w:ascii="Arial" w:hAnsi="Arial" w:cs="Arial"/>
          <w:color w:val="1F3864" w:themeColor="accent1" w:themeShade="80"/>
        </w:rPr>
        <w:tab/>
      </w:r>
    </w:p>
    <w:p w14:paraId="39B1AA83" w14:textId="77777777" w:rsidR="00611A90" w:rsidRPr="00DB07FD" w:rsidRDefault="00611A90" w:rsidP="00611A90">
      <w:pPr>
        <w:rPr>
          <w:rFonts w:ascii="Arial" w:hAnsi="Arial" w:cs="Arial"/>
          <w:color w:val="1F3864" w:themeColor="accent1" w:themeShade="80"/>
        </w:rPr>
      </w:pPr>
    </w:p>
    <w:p w14:paraId="6FE748E4" w14:textId="78359D8C" w:rsidR="00611A90" w:rsidRPr="00DB07FD" w:rsidRDefault="00611A90" w:rsidP="00611A90">
      <w:pPr>
        <w:rPr>
          <w:rFonts w:ascii="Arial" w:hAnsi="Arial" w:cs="Arial"/>
          <w:color w:val="1F3864" w:themeColor="accent1" w:themeShade="80"/>
          <w:sz w:val="36"/>
          <w:szCs w:val="36"/>
        </w:rPr>
      </w:pPr>
      <w:r w:rsidRPr="00DB07FD">
        <w:rPr>
          <w:rFonts w:ascii="Arial" w:hAnsi="Arial" w:cs="Arial"/>
          <w:color w:val="1F3864" w:themeColor="accent1" w:themeShade="80"/>
          <w:sz w:val="36"/>
          <w:szCs w:val="36"/>
        </w:rPr>
        <w:t xml:space="preserve">TARALAY IMPRESSION </w:t>
      </w:r>
      <w:r w:rsidR="001B51FF" w:rsidRPr="00DB07FD">
        <w:rPr>
          <w:rFonts w:ascii="Arial" w:hAnsi="Arial" w:cs="Arial"/>
          <w:color w:val="1F3864" w:themeColor="accent1" w:themeShade="80"/>
          <w:sz w:val="36"/>
          <w:szCs w:val="36"/>
        </w:rPr>
        <w:t>ACOUSTIC</w:t>
      </w:r>
      <w:r w:rsidRPr="00DB07FD">
        <w:rPr>
          <w:rFonts w:ascii="Arial" w:hAnsi="Arial" w:cs="Arial"/>
          <w:color w:val="1F3864" w:themeColor="accent1" w:themeShade="80"/>
          <w:sz w:val="36"/>
          <w:szCs w:val="36"/>
        </w:rPr>
        <w:t xml:space="preserve"> 43</w:t>
      </w:r>
    </w:p>
    <w:p w14:paraId="16E442D9" w14:textId="77777777" w:rsidR="00611A90" w:rsidRPr="00DB07FD" w:rsidRDefault="00611A90" w:rsidP="00611A90">
      <w:pPr>
        <w:rPr>
          <w:rFonts w:ascii="Arial" w:hAnsi="Arial" w:cs="Arial"/>
          <w:color w:val="1F3864" w:themeColor="accent1" w:themeShade="80"/>
        </w:rPr>
      </w:pPr>
    </w:p>
    <w:p w14:paraId="4DE54796" w14:textId="77777777" w:rsidR="00611A90" w:rsidRPr="00DB07FD" w:rsidRDefault="00611A90" w:rsidP="00611A90">
      <w:pPr>
        <w:rPr>
          <w:rFonts w:ascii="Arial" w:hAnsi="Arial" w:cs="Arial"/>
          <w:color w:val="1F3864" w:themeColor="accent1" w:themeShade="80"/>
          <w:sz w:val="25"/>
          <w:szCs w:val="25"/>
        </w:rPr>
      </w:pPr>
    </w:p>
    <w:p w14:paraId="6FF82DA4" w14:textId="72441104"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 xml:space="preserve">Le revêtement de sol sélectionné est un revêtement </w:t>
      </w:r>
      <w:r w:rsidRPr="00DB07FD">
        <w:rPr>
          <w:rFonts w:ascii="Arial" w:hAnsi="Arial" w:cs="Arial"/>
          <w:b/>
          <w:bCs/>
          <w:color w:val="1F3864" w:themeColor="accent1" w:themeShade="80"/>
        </w:rPr>
        <w:t xml:space="preserve">PVC </w:t>
      </w:r>
      <w:r w:rsidR="001B51FF" w:rsidRPr="00DB07FD">
        <w:rPr>
          <w:rFonts w:ascii="Arial" w:hAnsi="Arial" w:cs="Arial"/>
          <w:b/>
          <w:bCs/>
          <w:color w:val="1F3864" w:themeColor="accent1" w:themeShade="80"/>
        </w:rPr>
        <w:t>isophonique</w:t>
      </w:r>
      <w:r w:rsidRPr="00DB07FD">
        <w:rPr>
          <w:rFonts w:ascii="Arial" w:hAnsi="Arial" w:cs="Arial"/>
          <w:b/>
          <w:bCs/>
          <w:color w:val="1F3864" w:themeColor="accent1" w:themeShade="80"/>
        </w:rPr>
        <w:t xml:space="preserve"> multicouche</w:t>
      </w:r>
      <w:r w:rsidRPr="00DB07FD">
        <w:rPr>
          <w:rFonts w:ascii="Arial" w:hAnsi="Arial" w:cs="Arial"/>
          <w:color w:val="1F3864" w:themeColor="accent1" w:themeShade="80"/>
        </w:rPr>
        <w:t xml:space="preserve">, </w:t>
      </w:r>
      <w:r w:rsidRPr="00DB07FD">
        <w:rPr>
          <w:rFonts w:ascii="Arial" w:hAnsi="Arial" w:cs="Arial"/>
          <w:b/>
          <w:bCs/>
          <w:color w:val="1F3864" w:themeColor="accent1" w:themeShade="80"/>
        </w:rPr>
        <w:t>armaturé, à couche d’usure transparente non chargée, groupe T d'abrasion</w:t>
      </w:r>
      <w:r w:rsidRPr="00DB07FD">
        <w:rPr>
          <w:rFonts w:ascii="Arial" w:hAnsi="Arial" w:cs="Arial"/>
          <w:color w:val="1F3864" w:themeColor="accent1" w:themeShade="80"/>
        </w:rPr>
        <w:t>, en rouleau de 2 mètres de large.</w:t>
      </w:r>
    </w:p>
    <w:p w14:paraId="1EFBD8DA" w14:textId="180065D1"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 xml:space="preserve">TARALAY IMPRESSION </w:t>
      </w:r>
      <w:r w:rsidR="001B51FF" w:rsidRPr="00DB07FD">
        <w:rPr>
          <w:rFonts w:ascii="Arial" w:hAnsi="Arial" w:cs="Arial"/>
          <w:color w:val="1F3864" w:themeColor="accent1" w:themeShade="80"/>
        </w:rPr>
        <w:t>ACOUSTIC</w:t>
      </w:r>
      <w:r w:rsidRPr="00DB07FD">
        <w:rPr>
          <w:rFonts w:ascii="Arial" w:hAnsi="Arial" w:cs="Arial"/>
          <w:color w:val="1F3864" w:themeColor="accent1" w:themeShade="80"/>
        </w:rPr>
        <w:t xml:space="preserve"> est certifié </w:t>
      </w:r>
      <w:r w:rsidRPr="00DB07FD">
        <w:rPr>
          <w:rFonts w:ascii="Arial" w:hAnsi="Arial" w:cs="Arial"/>
          <w:noProof/>
          <w:color w:val="1F3864" w:themeColor="accent1" w:themeShade="80"/>
        </w:rPr>
        <w:drawing>
          <wp:inline distT="0" distB="0" distL="0" distR="0" wp14:anchorId="015E80C3" wp14:editId="217E6CFE">
            <wp:extent cx="661274" cy="330687"/>
            <wp:effectExtent l="0" t="0" r="0" b="0"/>
            <wp:docPr id="3" name="image2.jpeg" descr="Kio - Alfac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1274" cy="330687"/>
                    </a:xfrm>
                    <a:prstGeom prst="rect">
                      <a:avLst/>
                    </a:prstGeom>
                  </pic:spPr>
                </pic:pic>
              </a:graphicData>
            </a:graphic>
          </wp:inline>
        </w:drawing>
      </w:r>
      <w:r w:rsidRPr="00DB07FD">
        <w:rPr>
          <w:rFonts w:ascii="Arial" w:hAnsi="Arial" w:cs="Arial"/>
          <w:color w:val="1F3864" w:themeColor="accent1" w:themeShade="80"/>
        </w:rPr>
        <w:t xml:space="preserve">   U4P3E2/3C2</w:t>
      </w:r>
      <w:r w:rsidR="00546753">
        <w:rPr>
          <w:rFonts w:ascii="Arial" w:hAnsi="Arial" w:cs="Arial"/>
          <w:color w:val="1F3864" w:themeColor="accent1" w:themeShade="80"/>
        </w:rPr>
        <w:t>, n° de certificat 301-031.2</w:t>
      </w:r>
    </w:p>
    <w:p w14:paraId="3EBAE8CE" w14:textId="77777777" w:rsidR="00611A90" w:rsidRPr="00DB07FD" w:rsidRDefault="00611A90" w:rsidP="00611A90">
      <w:pPr>
        <w:rPr>
          <w:rFonts w:ascii="Arial" w:hAnsi="Arial" w:cs="Arial"/>
          <w:color w:val="1F3864" w:themeColor="accent1" w:themeShade="80"/>
        </w:rPr>
      </w:pPr>
    </w:p>
    <w:p w14:paraId="2381F6DD" w14:textId="77777777"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Il peut être posé sur de nombreux supports existants dans le cadre d’une rénovation, dont sol amianté, ou dans le cadre d’une nouvelle construction.</w:t>
      </w:r>
    </w:p>
    <w:p w14:paraId="4BE82F76" w14:textId="77777777" w:rsidR="00611A90" w:rsidRPr="00DB07FD" w:rsidRDefault="00611A90" w:rsidP="00611A90">
      <w:pPr>
        <w:rPr>
          <w:rFonts w:ascii="Arial" w:hAnsi="Arial" w:cs="Arial"/>
          <w:color w:val="1F3864" w:themeColor="accent1" w:themeShade="80"/>
        </w:rPr>
      </w:pPr>
    </w:p>
    <w:p w14:paraId="25719E08" w14:textId="3336D9E4" w:rsidR="00611A90" w:rsidRPr="00DB07FD" w:rsidRDefault="00611A90" w:rsidP="00611A90">
      <w:pPr>
        <w:rPr>
          <w:rFonts w:ascii="Arial" w:hAnsi="Arial" w:cs="Arial"/>
          <w:b/>
          <w:bCs/>
          <w:color w:val="1F3864" w:themeColor="accent1" w:themeShade="80"/>
        </w:rPr>
      </w:pPr>
      <w:r w:rsidRPr="00DB07FD">
        <w:rPr>
          <w:rFonts w:ascii="Arial" w:hAnsi="Arial" w:cs="Arial"/>
          <w:color w:val="1F3864" w:themeColor="accent1" w:themeShade="80"/>
        </w:rPr>
        <w:t xml:space="preserve">Il fait une épaisseur totale de </w:t>
      </w:r>
      <w:r w:rsidR="001B51FF" w:rsidRPr="00DB07FD">
        <w:rPr>
          <w:rFonts w:ascii="Arial" w:hAnsi="Arial" w:cs="Arial"/>
          <w:b/>
          <w:bCs/>
          <w:color w:val="1F3864" w:themeColor="accent1" w:themeShade="80"/>
        </w:rPr>
        <w:t>3,35</w:t>
      </w:r>
      <w:r w:rsidRPr="00DB07FD">
        <w:rPr>
          <w:rFonts w:ascii="Arial" w:hAnsi="Arial" w:cs="Arial"/>
          <w:b/>
          <w:bCs/>
          <w:color w:val="1F3864" w:themeColor="accent1" w:themeShade="80"/>
        </w:rPr>
        <w:t xml:space="preserve"> mm, </w:t>
      </w:r>
      <w:r w:rsidRPr="00DB07FD">
        <w:rPr>
          <w:rFonts w:ascii="Arial" w:hAnsi="Arial" w:cs="Arial"/>
          <w:color w:val="1F3864" w:themeColor="accent1" w:themeShade="80"/>
        </w:rPr>
        <w:t>avec une</w:t>
      </w:r>
      <w:r w:rsidRPr="00DB07FD">
        <w:rPr>
          <w:rFonts w:ascii="Arial" w:hAnsi="Arial" w:cs="Arial"/>
          <w:b/>
          <w:bCs/>
          <w:color w:val="1F3864" w:themeColor="accent1" w:themeShade="80"/>
        </w:rPr>
        <w:t xml:space="preserve"> couche d’usure de 0,</w:t>
      </w:r>
      <w:r w:rsidR="001B51FF" w:rsidRPr="00DB07FD">
        <w:rPr>
          <w:rFonts w:ascii="Arial" w:hAnsi="Arial" w:cs="Arial"/>
          <w:b/>
          <w:bCs/>
          <w:color w:val="1F3864" w:themeColor="accent1" w:themeShade="80"/>
        </w:rPr>
        <w:t>65</w:t>
      </w:r>
      <w:r w:rsidRPr="00DB07FD">
        <w:rPr>
          <w:rFonts w:ascii="Arial" w:hAnsi="Arial" w:cs="Arial"/>
          <w:b/>
          <w:bCs/>
          <w:color w:val="1F3864" w:themeColor="accent1" w:themeShade="80"/>
        </w:rPr>
        <w:t xml:space="preserve"> mm.</w:t>
      </w:r>
    </w:p>
    <w:p w14:paraId="2B8E4199" w14:textId="6F08A1FC"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 xml:space="preserve">Sa valeur moyenne mesurée pour le </w:t>
      </w:r>
      <w:r w:rsidRPr="00DB07FD">
        <w:rPr>
          <w:rFonts w:ascii="Arial" w:hAnsi="Arial" w:cs="Arial"/>
          <w:b/>
          <w:bCs/>
          <w:color w:val="1F3864" w:themeColor="accent1" w:themeShade="80"/>
        </w:rPr>
        <w:t>poinçonnement rémanent de 0</w:t>
      </w:r>
      <w:r w:rsidR="001B51FF" w:rsidRPr="00DB07FD">
        <w:rPr>
          <w:rFonts w:ascii="Arial" w:hAnsi="Arial" w:cs="Arial"/>
          <w:b/>
          <w:bCs/>
          <w:color w:val="1F3864" w:themeColor="accent1" w:themeShade="80"/>
        </w:rPr>
        <w:t>,08</w:t>
      </w:r>
      <w:r w:rsidRPr="00DB07FD">
        <w:rPr>
          <w:rFonts w:ascii="Arial" w:hAnsi="Arial" w:cs="Arial"/>
          <w:b/>
          <w:bCs/>
          <w:color w:val="1F3864" w:themeColor="accent1" w:themeShade="80"/>
        </w:rPr>
        <w:t xml:space="preserve"> mm</w:t>
      </w:r>
      <w:r w:rsidRPr="00DB07FD">
        <w:rPr>
          <w:rFonts w:ascii="Arial" w:hAnsi="Arial" w:cs="Arial"/>
          <w:color w:val="1F3864" w:themeColor="accent1" w:themeShade="80"/>
        </w:rPr>
        <w:t xml:space="preserve"> (valeur moyenne mesurée) et une isolation acoustique de </w:t>
      </w:r>
      <w:r w:rsidR="001B51FF" w:rsidRPr="00DB07FD">
        <w:rPr>
          <w:rFonts w:ascii="Arial" w:hAnsi="Arial" w:cs="Arial"/>
          <w:color w:val="1F3864" w:themeColor="accent1" w:themeShade="80"/>
        </w:rPr>
        <w:t>19</w:t>
      </w:r>
      <w:r w:rsidRPr="00DB07FD">
        <w:rPr>
          <w:rFonts w:ascii="Arial" w:hAnsi="Arial" w:cs="Arial"/>
          <w:color w:val="1F3864" w:themeColor="accent1" w:themeShade="80"/>
        </w:rPr>
        <w:t xml:space="preserve">dB. Sa valeur moyenne mesurée pour la </w:t>
      </w:r>
      <w:r w:rsidRPr="00DB07FD">
        <w:rPr>
          <w:rFonts w:ascii="Arial" w:hAnsi="Arial" w:cs="Arial"/>
          <w:b/>
          <w:bCs/>
          <w:color w:val="1F3864" w:themeColor="accent1" w:themeShade="80"/>
        </w:rPr>
        <w:t>stabilité dimensionnelle</w:t>
      </w:r>
      <w:r w:rsidRPr="00DB07FD">
        <w:rPr>
          <w:rFonts w:ascii="Arial" w:hAnsi="Arial" w:cs="Arial"/>
          <w:color w:val="1F3864" w:themeColor="accent1" w:themeShade="80"/>
        </w:rPr>
        <w:t xml:space="preserve"> est de 0,08</w:t>
      </w:r>
    </w:p>
    <w:p w14:paraId="0B77646D" w14:textId="77777777" w:rsidR="00611A90" w:rsidRPr="00DB07FD" w:rsidRDefault="00611A90" w:rsidP="00611A90">
      <w:pPr>
        <w:rPr>
          <w:rFonts w:ascii="Arial" w:hAnsi="Arial" w:cs="Arial"/>
          <w:color w:val="1F3864" w:themeColor="accent1" w:themeShade="80"/>
        </w:rPr>
      </w:pPr>
    </w:p>
    <w:p w14:paraId="7E5454E7" w14:textId="77777777"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 xml:space="preserve">Il est doté d'un traitement de surface Protecsol®2 </w:t>
      </w:r>
      <w:r w:rsidRPr="00DB07FD">
        <w:rPr>
          <w:rFonts w:ascii="Arial" w:hAnsi="Arial" w:cs="Arial"/>
          <w:b/>
          <w:bCs/>
          <w:color w:val="1F3864" w:themeColor="accent1" w:themeShade="80"/>
        </w:rPr>
        <w:t>doublement réticulé UV et laser</w:t>
      </w:r>
      <w:r w:rsidRPr="00DB07FD">
        <w:rPr>
          <w:rFonts w:ascii="Arial" w:hAnsi="Arial" w:cs="Arial"/>
          <w:color w:val="1F3864" w:themeColor="accent1" w:themeShade="80"/>
        </w:rPr>
        <w:t>, facilitant l'entretien et résistant aux taches laissées par des produits tels que la Bétadine et l’éosine (aqueuses et alcooliques), les solutions hydro alcooliques ou le marqueur. Il élimine toute métallisation ou entretien par méthode spray durant toute la durée de vie du produit.</w:t>
      </w:r>
    </w:p>
    <w:p w14:paraId="044A21AD" w14:textId="77777777" w:rsidR="00611A90" w:rsidRPr="00DB07FD" w:rsidRDefault="00611A90" w:rsidP="00611A90">
      <w:pPr>
        <w:rPr>
          <w:rFonts w:ascii="Arial" w:hAnsi="Arial" w:cs="Arial"/>
          <w:color w:val="1F3864" w:themeColor="accent1" w:themeShade="80"/>
        </w:rPr>
      </w:pPr>
    </w:p>
    <w:p w14:paraId="2AFA91C9" w14:textId="77777777"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Il a - selon la norme ISO 22196 - une activité anti-bactérienne contre les bactéries E.coli, S.aureus et MRSA, en réduisant le nombre de virus de 99% après 24 heures.</w:t>
      </w:r>
    </w:p>
    <w:p w14:paraId="69B79EBD" w14:textId="77777777"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Il a - selon la norme ISO 21702 - une activité anti-virale contre le Coronavirus humain, en réduisant le nombre de virus de 99,7% après 2 heures.</w:t>
      </w:r>
    </w:p>
    <w:p w14:paraId="4451A6E1" w14:textId="77777777" w:rsidR="00611A90" w:rsidRPr="00DB07FD" w:rsidRDefault="00611A90" w:rsidP="00611A90">
      <w:pPr>
        <w:rPr>
          <w:rFonts w:ascii="Arial" w:hAnsi="Arial" w:cs="Arial"/>
          <w:color w:val="1F3864" w:themeColor="accent1" w:themeShade="80"/>
        </w:rPr>
      </w:pPr>
    </w:p>
    <w:p w14:paraId="0B7BE700" w14:textId="77777777" w:rsidR="00611A90" w:rsidRPr="00DB07FD" w:rsidRDefault="00611A90" w:rsidP="00611A90">
      <w:pPr>
        <w:rPr>
          <w:rFonts w:ascii="Arial" w:hAnsi="Arial" w:cs="Arial"/>
          <w:b/>
          <w:bCs/>
          <w:color w:val="1F3864" w:themeColor="accent1" w:themeShade="80"/>
        </w:rPr>
      </w:pPr>
      <w:r w:rsidRPr="00DB07FD">
        <w:rPr>
          <w:rFonts w:ascii="Arial" w:hAnsi="Arial" w:cs="Arial"/>
          <w:color w:val="1F3864" w:themeColor="accent1" w:themeShade="80"/>
        </w:rPr>
        <w:t xml:space="preserve">Les émissions dans l’air </w:t>
      </w:r>
      <w:r w:rsidRPr="00DB07FD">
        <w:rPr>
          <w:rFonts w:ascii="Arial" w:hAnsi="Arial" w:cs="Arial"/>
          <w:b/>
          <w:bCs/>
          <w:color w:val="1F3864" w:themeColor="accent1" w:themeShade="80"/>
        </w:rPr>
        <w:t>de TVOC à 28 jours</w:t>
      </w:r>
      <w:r w:rsidRPr="00DB07FD">
        <w:rPr>
          <w:rFonts w:ascii="Arial" w:hAnsi="Arial" w:cs="Arial"/>
          <w:color w:val="1F3864" w:themeColor="accent1" w:themeShade="80"/>
        </w:rPr>
        <w:t xml:space="preserve"> (NF EN 16000) du revêtement sélectionné sont </w:t>
      </w:r>
      <w:r w:rsidRPr="00DB07FD">
        <w:rPr>
          <w:rFonts w:ascii="Arial" w:hAnsi="Arial" w:cs="Arial"/>
          <w:b/>
          <w:bCs/>
          <w:color w:val="1F3864" w:themeColor="accent1" w:themeShade="80"/>
        </w:rPr>
        <w:t xml:space="preserve">&lt; 10 μg / m³. </w:t>
      </w:r>
      <w:r w:rsidRPr="00DB07FD">
        <w:rPr>
          <w:rFonts w:ascii="Arial" w:hAnsi="Arial" w:cs="Arial"/>
          <w:color w:val="1F3864" w:themeColor="accent1" w:themeShade="80"/>
        </w:rPr>
        <w:t xml:space="preserve">Selon la norme NF EN 13501-1, le revêtement est classé </w:t>
      </w:r>
      <w:r w:rsidRPr="00DB07FD">
        <w:rPr>
          <w:rFonts w:ascii="Arial" w:hAnsi="Arial" w:cs="Arial"/>
          <w:b/>
          <w:bCs/>
          <w:color w:val="1F3864" w:themeColor="accent1" w:themeShade="80"/>
        </w:rPr>
        <w:t>Bfls1.</w:t>
      </w:r>
    </w:p>
    <w:p w14:paraId="2B5995A3" w14:textId="77777777" w:rsidR="00611A90" w:rsidRPr="00DB07FD" w:rsidRDefault="00611A90" w:rsidP="00611A90">
      <w:pPr>
        <w:rPr>
          <w:rFonts w:ascii="Arial" w:hAnsi="Arial" w:cs="Arial"/>
          <w:color w:val="1F3864" w:themeColor="accent1" w:themeShade="80"/>
        </w:rPr>
      </w:pPr>
    </w:p>
    <w:p w14:paraId="26CE4F41" w14:textId="4FAEB087"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 xml:space="preserve">TARALAY IMPRESSION </w:t>
      </w:r>
      <w:r w:rsidR="001B51FF" w:rsidRPr="00DB07FD">
        <w:rPr>
          <w:rFonts w:ascii="Arial" w:hAnsi="Arial" w:cs="Arial"/>
          <w:color w:val="1F3864" w:themeColor="accent1" w:themeShade="80"/>
        </w:rPr>
        <w:t>ACOUSTIC</w:t>
      </w:r>
      <w:r w:rsidRPr="00DB07FD">
        <w:rPr>
          <w:rFonts w:ascii="Arial" w:hAnsi="Arial" w:cs="Arial"/>
          <w:color w:val="1F3864" w:themeColor="accent1" w:themeShade="80"/>
        </w:rPr>
        <w:t xml:space="preserve"> est </w:t>
      </w:r>
      <w:r w:rsidRPr="00DB07FD">
        <w:rPr>
          <w:rFonts w:ascii="Arial" w:hAnsi="Arial" w:cs="Arial"/>
          <w:b/>
          <w:bCs/>
          <w:color w:val="1F3864" w:themeColor="accent1" w:themeShade="80"/>
        </w:rPr>
        <w:t xml:space="preserve">conçu et fabriqué en </w:t>
      </w:r>
      <w:r w:rsidR="0031573B">
        <w:rPr>
          <w:rFonts w:ascii="Arial" w:hAnsi="Arial" w:cs="Arial"/>
          <w:b/>
          <w:bCs/>
          <w:color w:val="1F3864" w:themeColor="accent1" w:themeShade="80"/>
        </w:rPr>
        <w:t xml:space="preserve">France. </w:t>
      </w:r>
      <w:r w:rsidRPr="00DB07FD">
        <w:rPr>
          <w:rFonts w:ascii="Arial" w:hAnsi="Arial" w:cs="Arial"/>
          <w:color w:val="1F3864" w:themeColor="accent1" w:themeShade="80"/>
        </w:rPr>
        <w:t xml:space="preserve">Il est </w:t>
      </w:r>
      <w:r w:rsidRPr="00DB07FD">
        <w:rPr>
          <w:rFonts w:ascii="Arial" w:hAnsi="Arial" w:cs="Arial"/>
          <w:b/>
          <w:bCs/>
          <w:color w:val="1F3864" w:themeColor="accent1" w:themeShade="80"/>
        </w:rPr>
        <w:t>recyclable à 100 %</w:t>
      </w:r>
      <w:r w:rsidRPr="00DB07FD">
        <w:rPr>
          <w:rFonts w:ascii="Arial" w:hAnsi="Arial" w:cs="Arial"/>
          <w:color w:val="1F3864" w:themeColor="accent1" w:themeShade="80"/>
        </w:rPr>
        <w:t xml:space="preserve"> et les chutes de pose et fin de vie peuvent être collectées et recyclées au travers du programme Gerflor Seconde Vie.</w:t>
      </w:r>
    </w:p>
    <w:p w14:paraId="53C33D90" w14:textId="77777777" w:rsidR="00611A90" w:rsidRPr="00DB07FD" w:rsidRDefault="00611A90" w:rsidP="00611A90">
      <w:pPr>
        <w:rPr>
          <w:rFonts w:ascii="Arial" w:hAnsi="Arial" w:cs="Arial"/>
          <w:color w:val="1F3864" w:themeColor="accent1" w:themeShade="80"/>
        </w:rPr>
      </w:pPr>
    </w:p>
    <w:p w14:paraId="041DAC0F" w14:textId="58A044BC" w:rsidR="00611A90" w:rsidRPr="00DB07FD" w:rsidRDefault="00611A90" w:rsidP="00611A90">
      <w:pPr>
        <w:rPr>
          <w:rFonts w:ascii="Arial" w:hAnsi="Arial" w:cs="Arial"/>
          <w:color w:val="1F3864" w:themeColor="accent1" w:themeShade="80"/>
        </w:rPr>
      </w:pPr>
      <w:r w:rsidRPr="00DB07FD">
        <w:rPr>
          <w:rFonts w:ascii="Arial" w:hAnsi="Arial" w:cs="Arial"/>
          <w:color w:val="1F3864" w:themeColor="accent1" w:themeShade="80"/>
        </w:rPr>
        <w:t xml:space="preserve">Le revêtement de sol sélectionné bénéficiera d'une FDES individuelle, vérifiée et disponible sur la base INIES. </w:t>
      </w:r>
    </w:p>
    <w:p w14:paraId="2CAA07AE" w14:textId="77777777" w:rsidR="00F76F23" w:rsidRPr="00DB07FD" w:rsidRDefault="00F76F23">
      <w:pPr>
        <w:rPr>
          <w:color w:val="1F3864" w:themeColor="accent1" w:themeShade="80"/>
        </w:rPr>
      </w:pPr>
    </w:p>
    <w:sectPr w:rsidR="00F76F23" w:rsidRPr="00DB07F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EB5" w14:textId="77777777" w:rsidR="001B51FF" w:rsidRDefault="001B51FF" w:rsidP="001B51FF">
      <w:r>
        <w:separator/>
      </w:r>
    </w:p>
  </w:endnote>
  <w:endnote w:type="continuationSeparator" w:id="0">
    <w:p w14:paraId="0C0C91A1" w14:textId="77777777" w:rsidR="001B51FF" w:rsidRDefault="001B51FF" w:rsidP="001B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3D49" w14:textId="77777777" w:rsidR="001B51FF" w:rsidRDefault="001B51FF" w:rsidP="001B51FF">
      <w:r>
        <w:separator/>
      </w:r>
    </w:p>
  </w:footnote>
  <w:footnote w:type="continuationSeparator" w:id="0">
    <w:p w14:paraId="445D4E7B" w14:textId="77777777" w:rsidR="001B51FF" w:rsidRDefault="001B51FF" w:rsidP="001B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1EFD" w14:textId="71F7C44A" w:rsidR="001B51FF" w:rsidRDefault="001B51FF" w:rsidP="001B51FF">
    <w:pPr>
      <w:pStyle w:val="En-tte"/>
    </w:pPr>
  </w:p>
  <w:p w14:paraId="39D7C134" w14:textId="77777777" w:rsidR="001B51FF" w:rsidRDefault="001B51FF" w:rsidP="001B51FF">
    <w:pPr>
      <w:pStyle w:val="En-tte"/>
    </w:pPr>
  </w:p>
  <w:p w14:paraId="251BB3F2" w14:textId="77777777" w:rsidR="001B51FF" w:rsidRPr="00FE4369" w:rsidRDefault="001B51FF" w:rsidP="001B51FF">
    <w:pPr>
      <w:pStyle w:val="En-tte"/>
      <w:jc w:val="both"/>
      <w:rPr>
        <w:sz w:val="20"/>
        <w:szCs w:val="20"/>
      </w:rPr>
    </w:pPr>
    <w:r>
      <w:rPr>
        <w:noProof/>
      </w:rPr>
      <w:drawing>
        <wp:inline distT="0" distB="0" distL="0" distR="0" wp14:anchorId="515976F1" wp14:editId="7034E978">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Pr="007F49C9">
      <w:rPr>
        <w:rFonts w:ascii="Arial" w:hAnsi="Arial" w:cs="Arial"/>
        <w:b/>
        <w:bCs/>
        <w:color w:val="001740"/>
        <w:sz w:val="32"/>
        <w:szCs w:val="32"/>
      </w:rPr>
      <w:t xml:space="preserve"> </w:t>
    </w:r>
    <w:r>
      <w:rPr>
        <w:rFonts w:ascii="Arial" w:hAnsi="Arial" w:cs="Arial"/>
        <w:b/>
        <w:bCs/>
        <w:color w:val="001740"/>
        <w:sz w:val="32"/>
        <w:szCs w:val="32"/>
      </w:rPr>
      <w:tab/>
    </w:r>
    <w:r>
      <w:rPr>
        <w:rFonts w:ascii="Arial" w:hAnsi="Arial" w:cs="Arial"/>
        <w:b/>
        <w:bCs/>
        <w:color w:val="001740"/>
        <w:sz w:val="32"/>
        <w:szCs w:val="32"/>
      </w:rPr>
      <w:tab/>
    </w:r>
    <w:r w:rsidRPr="00FE4369">
      <w:rPr>
        <w:rFonts w:ascii="Arial" w:hAnsi="Arial" w:cs="Arial"/>
        <w:color w:val="001740"/>
      </w:rPr>
      <w:t>TARALAY IMPRESSION</w:t>
    </w:r>
  </w:p>
  <w:p w14:paraId="32D30C67" w14:textId="77777777" w:rsidR="001B51FF" w:rsidRDefault="001B51FF" w:rsidP="001B51FF">
    <w:pPr>
      <w:pStyle w:val="En-tte"/>
    </w:pPr>
    <w:r>
      <w:rPr>
        <w:noProof/>
      </w:rPr>
      <mc:AlternateContent>
        <mc:Choice Requires="wps">
          <w:drawing>
            <wp:anchor distT="0" distB="0" distL="114300" distR="114300" simplePos="0" relativeHeight="251659264" behindDoc="0" locked="0" layoutInCell="1" allowOverlap="1" wp14:anchorId="38ED8C57" wp14:editId="0C2DC73E">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16E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" strokecolor="#001740" strokeweight="2pt"/>
          </w:pict>
        </mc:Fallback>
      </mc:AlternateContent>
    </w:r>
  </w:p>
  <w:p w14:paraId="10D41697" w14:textId="6F0A1C97" w:rsidR="001B51FF" w:rsidRDefault="001B51FF">
    <w:pPr>
      <w:pStyle w:val="En-tte"/>
    </w:pPr>
  </w:p>
  <w:p w14:paraId="12734B07" w14:textId="77777777" w:rsidR="001B51FF" w:rsidRDefault="001B51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0"/>
    <w:rsid w:val="001B51FF"/>
    <w:rsid w:val="002D0929"/>
    <w:rsid w:val="0031573B"/>
    <w:rsid w:val="00546753"/>
    <w:rsid w:val="005C3B2D"/>
    <w:rsid w:val="00611A90"/>
    <w:rsid w:val="0085565B"/>
    <w:rsid w:val="00CA22C8"/>
    <w:rsid w:val="00DB07FD"/>
    <w:rsid w:val="00DB251D"/>
    <w:rsid w:val="00F76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3F24"/>
  <w15:chartTrackingRefBased/>
  <w15:docId w15:val="{63DB00E2-195F-495A-8C7C-78E2B1C9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9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11A90"/>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11A90"/>
    <w:rPr>
      <w:rFonts w:ascii="Verdana" w:eastAsia="Times New Roman" w:hAnsi="Verdana" w:cs="Times New Roman"/>
      <w:b/>
      <w:bCs/>
      <w:noProof/>
      <w:sz w:val="24"/>
      <w:szCs w:val="24"/>
      <w:lang w:eastAsia="fr-FR"/>
    </w:rPr>
  </w:style>
  <w:style w:type="paragraph" w:styleId="En-tte">
    <w:name w:val="header"/>
    <w:basedOn w:val="Normal"/>
    <w:link w:val="En-tteCar"/>
    <w:unhideWhenUsed/>
    <w:rsid w:val="001B51FF"/>
    <w:pPr>
      <w:tabs>
        <w:tab w:val="center" w:pos="4536"/>
        <w:tab w:val="right" w:pos="9072"/>
      </w:tabs>
    </w:pPr>
  </w:style>
  <w:style w:type="character" w:customStyle="1" w:styleId="En-tteCar">
    <w:name w:val="En-tête Car"/>
    <w:basedOn w:val="Policepardfaut"/>
    <w:link w:val="En-tte"/>
    <w:uiPriority w:val="99"/>
    <w:rsid w:val="001B51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B51FF"/>
    <w:pPr>
      <w:tabs>
        <w:tab w:val="center" w:pos="4536"/>
        <w:tab w:val="right" w:pos="9072"/>
      </w:tabs>
    </w:pPr>
  </w:style>
  <w:style w:type="character" w:customStyle="1" w:styleId="PieddepageCar">
    <w:name w:val="Pied de page Car"/>
    <w:basedOn w:val="Policepardfaut"/>
    <w:link w:val="Pieddepage"/>
    <w:uiPriority w:val="99"/>
    <w:rsid w:val="001B51F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9542">
      <w:bodyDiv w:val="1"/>
      <w:marLeft w:val="0"/>
      <w:marRight w:val="0"/>
      <w:marTop w:val="0"/>
      <w:marBottom w:val="0"/>
      <w:divBdr>
        <w:top w:val="none" w:sz="0" w:space="0" w:color="auto"/>
        <w:left w:val="none" w:sz="0" w:space="0" w:color="auto"/>
        <w:bottom w:val="none" w:sz="0" w:space="0" w:color="auto"/>
        <w:right w:val="none" w:sz="0" w:space="0" w:color="auto"/>
      </w:divBdr>
      <w:divsChild>
        <w:div w:id="1478764567">
          <w:marLeft w:val="0"/>
          <w:marRight w:val="0"/>
          <w:marTop w:val="0"/>
          <w:marBottom w:val="0"/>
          <w:divBdr>
            <w:top w:val="none" w:sz="0" w:space="0" w:color="auto"/>
            <w:left w:val="none" w:sz="0" w:space="0" w:color="auto"/>
            <w:bottom w:val="none" w:sz="0" w:space="0" w:color="auto"/>
            <w:right w:val="none" w:sz="0" w:space="0" w:color="auto"/>
          </w:divBdr>
        </w:div>
      </w:divsChild>
    </w:div>
    <w:div w:id="2121292516">
      <w:bodyDiv w:val="1"/>
      <w:marLeft w:val="0"/>
      <w:marRight w:val="0"/>
      <w:marTop w:val="0"/>
      <w:marBottom w:val="0"/>
      <w:divBdr>
        <w:top w:val="none" w:sz="0" w:space="0" w:color="auto"/>
        <w:left w:val="none" w:sz="0" w:space="0" w:color="auto"/>
        <w:bottom w:val="none" w:sz="0" w:space="0" w:color="auto"/>
        <w:right w:val="none" w:sz="0" w:space="0" w:color="auto"/>
      </w:divBdr>
      <w:divsChild>
        <w:div w:id="199066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304BF-B0E7-4BBC-98FD-57F3B6787C84}">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2.xml><?xml version="1.0" encoding="utf-8"?>
<ds:datastoreItem xmlns:ds="http://schemas.openxmlformats.org/officeDocument/2006/customXml" ds:itemID="{416A4D13-935C-465C-B680-86F340C19A18}">
  <ds:schemaRefs>
    <ds:schemaRef ds:uri="http://schemas.microsoft.com/sharepoint/v3/contenttype/forms"/>
  </ds:schemaRefs>
</ds:datastoreItem>
</file>

<file path=customXml/itemProps3.xml><?xml version="1.0" encoding="utf-8"?>
<ds:datastoreItem xmlns:ds="http://schemas.openxmlformats.org/officeDocument/2006/customXml" ds:itemID="{9FA5D087-D74D-4E5C-9A1A-69C47E87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GERFLOR</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ROUSSET Lisa</dc:creator>
  <cp:keywords/>
  <dc:description/>
  <cp:lastModifiedBy>ROUSSET Lisa</cp:lastModifiedBy>
  <cp:revision>2</cp:revision>
  <dcterms:created xsi:type="dcterms:W3CDTF">2023-02-21T08:15:00Z</dcterms:created>
  <dcterms:modified xsi:type="dcterms:W3CDTF">2023-02-21T08:15:00Z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